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6" w:rsidRPr="00CE5F46" w:rsidRDefault="00CE5F46" w:rsidP="00CE5F46">
      <w:pPr>
        <w:jc w:val="right"/>
        <w:rPr>
          <w:i/>
          <w:sz w:val="28"/>
          <w:szCs w:val="28"/>
        </w:rPr>
      </w:pPr>
      <w:r w:rsidRPr="00CE5F46">
        <w:rPr>
          <w:i/>
          <w:sz w:val="28"/>
          <w:szCs w:val="28"/>
        </w:rPr>
        <w:t>Пресс-выпуск</w:t>
      </w:r>
    </w:p>
    <w:p w:rsidR="002F34A9" w:rsidRPr="00447A0D" w:rsidRDefault="00447A0D" w:rsidP="00447A0D">
      <w:pPr>
        <w:jc w:val="center"/>
        <w:rPr>
          <w:b/>
          <w:sz w:val="28"/>
          <w:szCs w:val="28"/>
        </w:rPr>
      </w:pPr>
      <w:r w:rsidRPr="00447A0D">
        <w:rPr>
          <w:b/>
          <w:sz w:val="28"/>
          <w:szCs w:val="28"/>
        </w:rPr>
        <w:t xml:space="preserve">О состоянии животноводства в </w:t>
      </w:r>
      <w:r w:rsidR="005C57FC">
        <w:rPr>
          <w:b/>
          <w:sz w:val="28"/>
          <w:szCs w:val="28"/>
        </w:rPr>
        <w:t>хозяйствах всех категорий</w:t>
      </w:r>
      <w:r w:rsidRPr="00447A0D">
        <w:rPr>
          <w:b/>
          <w:sz w:val="28"/>
          <w:szCs w:val="28"/>
        </w:rPr>
        <w:t xml:space="preserve"> Пензенской области в январе</w:t>
      </w:r>
      <w:r w:rsidR="00A26267" w:rsidRPr="00A26267">
        <w:rPr>
          <w:sz w:val="28"/>
          <w:szCs w:val="28"/>
        </w:rPr>
        <w:t>-</w:t>
      </w:r>
      <w:r w:rsidR="0009265A" w:rsidRPr="0009265A">
        <w:rPr>
          <w:b/>
          <w:sz w:val="28"/>
          <w:szCs w:val="28"/>
        </w:rPr>
        <w:t>августе</w:t>
      </w:r>
      <w:r w:rsidRPr="00447A0D">
        <w:rPr>
          <w:b/>
          <w:sz w:val="28"/>
          <w:szCs w:val="28"/>
        </w:rPr>
        <w:t xml:space="preserve"> 2020 года</w:t>
      </w:r>
    </w:p>
    <w:p w:rsidR="002F34A9" w:rsidRDefault="002F34A9"/>
    <w:p w:rsidR="0009265A" w:rsidRPr="00980F71" w:rsidRDefault="0009265A" w:rsidP="002726DC">
      <w:pPr>
        <w:pStyle w:val="a7"/>
        <w:spacing w:line="240" w:lineRule="auto"/>
      </w:pPr>
      <w:r w:rsidRPr="00980F71">
        <w:t xml:space="preserve">В </w:t>
      </w:r>
      <w:r>
        <w:t xml:space="preserve">январе-августе </w:t>
      </w:r>
      <w:r w:rsidRPr="00980F71">
        <w:t>20</w:t>
      </w:r>
      <w:r w:rsidRPr="000D1C14">
        <w:t>20</w:t>
      </w:r>
      <w:r w:rsidRPr="00980F71">
        <w:t xml:space="preserve">г. в хозяйствах всех категорий произведено </w:t>
      </w:r>
      <w:r>
        <w:t>2</w:t>
      </w:r>
      <w:r w:rsidRPr="000D1C14">
        <w:t>75</w:t>
      </w:r>
      <w:r>
        <w:t>,</w:t>
      </w:r>
      <w:r w:rsidRPr="000D1C14">
        <w:t>8</w:t>
      </w:r>
      <w:r w:rsidRPr="00980F71">
        <w:t xml:space="preserve"> тыс. т скота и птицы на убой в живом </w:t>
      </w:r>
      <w:r>
        <w:t>весе, или на 12,7</w:t>
      </w:r>
      <w:r w:rsidRPr="00980F71">
        <w:t xml:space="preserve">% больше, чем в </w:t>
      </w:r>
      <w:r>
        <w:t xml:space="preserve">январе-августе </w:t>
      </w:r>
      <w:r w:rsidRPr="00980F71">
        <w:t>201</w:t>
      </w:r>
      <w:r>
        <w:t>9</w:t>
      </w:r>
      <w:r w:rsidRPr="00980F71">
        <w:t xml:space="preserve">г. По темпам изменения производства мяса в </w:t>
      </w:r>
      <w:r>
        <w:t xml:space="preserve">январе-августе </w:t>
      </w:r>
      <w:r w:rsidRPr="00980F71">
        <w:t>20</w:t>
      </w:r>
      <w:r>
        <w:t>20</w:t>
      </w:r>
      <w:r w:rsidRPr="00980F71">
        <w:t xml:space="preserve">г. среди регионов ПФО Пензенская область занимала </w:t>
      </w:r>
      <w:r>
        <w:t>1</w:t>
      </w:r>
      <w:r w:rsidRPr="00980F71">
        <w:t>-е место.</w:t>
      </w: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09265A" w:rsidRPr="002726DC" w:rsidRDefault="0009265A" w:rsidP="0009265A">
      <w:pPr>
        <w:jc w:val="center"/>
        <w:rPr>
          <w:b/>
        </w:rPr>
      </w:pPr>
      <w:r w:rsidRPr="002726DC">
        <w:rPr>
          <w:b/>
        </w:rPr>
        <w:t xml:space="preserve">Индекс производства скота и птицы на убой (в живом весе) в хозяйствах всех категорий </w:t>
      </w:r>
    </w:p>
    <w:p w:rsidR="00AD25BB" w:rsidRPr="002726DC" w:rsidRDefault="0009265A" w:rsidP="0009265A">
      <w:pPr>
        <w:jc w:val="center"/>
        <w:rPr>
          <w:b/>
        </w:rPr>
      </w:pPr>
      <w:r w:rsidRPr="002726DC">
        <w:rPr>
          <w:b/>
        </w:rPr>
        <w:t>по регионам Приволжского федерального округа</w:t>
      </w:r>
    </w:p>
    <w:p w:rsidR="0009265A" w:rsidRPr="00ED2381" w:rsidRDefault="002726DC" w:rsidP="0009265A">
      <w:pPr>
        <w:jc w:val="center"/>
      </w:pPr>
      <w:r w:rsidRPr="00ED2381">
        <w:t>(</w:t>
      </w:r>
      <w:r w:rsidR="00ED2381" w:rsidRPr="00ED2381">
        <w:t>январь-август</w:t>
      </w:r>
      <w:r w:rsidRPr="00ED2381">
        <w:t xml:space="preserve"> 2020г. </w:t>
      </w:r>
      <w:proofErr w:type="gramStart"/>
      <w:r w:rsidRPr="00ED2381">
        <w:t>в</w:t>
      </w:r>
      <w:proofErr w:type="gramEnd"/>
      <w:r w:rsidRPr="00ED2381">
        <w:t xml:space="preserve"> % к </w:t>
      </w:r>
      <w:r w:rsidR="00ED2381" w:rsidRPr="00ED2381">
        <w:t>январю-августу</w:t>
      </w:r>
      <w:r w:rsidRPr="00ED2381">
        <w:t xml:space="preserve"> 2019г.)</w:t>
      </w:r>
    </w:p>
    <w:p w:rsidR="00AD25BB" w:rsidRDefault="002726DC">
      <w:pPr>
        <w:rPr>
          <w:rFonts w:ascii="Arial" w:hAnsi="Arial" w:cs="Arial"/>
          <w:b/>
          <w:sz w:val="20"/>
          <w:szCs w:val="20"/>
        </w:rPr>
      </w:pPr>
      <w:r w:rsidRPr="0009265A">
        <w:rPr>
          <w:noProof/>
          <w:sz w:val="20"/>
          <w:szCs w:val="20"/>
        </w:rPr>
        <w:drawing>
          <wp:inline distT="0" distB="0" distL="0" distR="0" wp14:anchorId="2BAD8019" wp14:editId="3A180DC2">
            <wp:extent cx="6381750" cy="2352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2726DC" w:rsidRPr="00C667A8" w:rsidRDefault="002726DC" w:rsidP="002726DC">
      <w:pPr>
        <w:pStyle w:val="a7"/>
        <w:spacing w:line="240" w:lineRule="auto"/>
      </w:pPr>
      <w:r w:rsidRPr="00C667A8">
        <w:t xml:space="preserve">Производство молока </w:t>
      </w:r>
      <w:r>
        <w:t>в январе-августе 2020г.</w:t>
      </w:r>
      <w:r w:rsidR="001543FD">
        <w:t xml:space="preserve"> </w:t>
      </w:r>
      <w:r>
        <w:t>в х</w:t>
      </w:r>
      <w:r w:rsidRPr="00C667A8">
        <w:t xml:space="preserve">озяйствах всех категорий составило </w:t>
      </w:r>
      <w:r>
        <w:t>265,9</w:t>
      </w:r>
      <w:r w:rsidRPr="00C667A8">
        <w:t xml:space="preserve"> тыс. т, или на 1</w:t>
      </w:r>
      <w:r>
        <w:t>0,7</w:t>
      </w:r>
      <w:r w:rsidRPr="00C667A8">
        <w:t>% больше, чем в январе-</w:t>
      </w:r>
      <w:r>
        <w:t xml:space="preserve">августе </w:t>
      </w:r>
      <w:r w:rsidRPr="00C667A8">
        <w:t>2019г. По темпам изменения производства молока в январе-</w:t>
      </w:r>
      <w:r>
        <w:t>августе</w:t>
      </w:r>
      <w:r w:rsidRPr="00C667A8">
        <w:t xml:space="preserve"> 2020г. среди регионов ПФО Пензенская область занимала 1-е место.</w:t>
      </w:r>
    </w:p>
    <w:p w:rsidR="002726DC" w:rsidRDefault="002726DC" w:rsidP="002726DC">
      <w:pPr>
        <w:rPr>
          <w:rFonts w:ascii="Arial" w:hAnsi="Arial" w:cs="Arial"/>
          <w:b/>
          <w:sz w:val="20"/>
          <w:szCs w:val="20"/>
        </w:rPr>
      </w:pPr>
    </w:p>
    <w:p w:rsidR="002726DC" w:rsidRPr="002726DC" w:rsidRDefault="00D14283" w:rsidP="002726D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CBE33" wp14:editId="08D9A6FD">
            <wp:simplePos x="0" y="0"/>
            <wp:positionH relativeFrom="column">
              <wp:posOffset>22860</wp:posOffset>
            </wp:positionH>
            <wp:positionV relativeFrom="paragraph">
              <wp:posOffset>139065</wp:posOffset>
            </wp:positionV>
            <wp:extent cx="6381750" cy="359092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DC" w:rsidRPr="002726DC">
        <w:rPr>
          <w:b/>
        </w:rPr>
        <w:t xml:space="preserve">Индекс производства </w:t>
      </w:r>
      <w:r w:rsidR="002726DC">
        <w:rPr>
          <w:b/>
        </w:rPr>
        <w:t xml:space="preserve">молока </w:t>
      </w:r>
      <w:r w:rsidR="002726DC" w:rsidRPr="002726DC">
        <w:rPr>
          <w:b/>
        </w:rPr>
        <w:t xml:space="preserve">в хозяйствах всех категорий </w:t>
      </w:r>
    </w:p>
    <w:p w:rsidR="002726DC" w:rsidRPr="002726DC" w:rsidRDefault="002726DC" w:rsidP="002726DC">
      <w:pPr>
        <w:jc w:val="center"/>
        <w:rPr>
          <w:b/>
        </w:rPr>
      </w:pPr>
      <w:r w:rsidRPr="002726DC">
        <w:rPr>
          <w:b/>
        </w:rPr>
        <w:t>по регионам Приволжского федерального округа</w:t>
      </w:r>
    </w:p>
    <w:p w:rsidR="00D14283" w:rsidRPr="00ED2381" w:rsidRDefault="00D14283" w:rsidP="00D14283">
      <w:pPr>
        <w:jc w:val="center"/>
      </w:pPr>
      <w:r w:rsidRPr="00ED2381">
        <w:t xml:space="preserve">(январь-август 2020г. </w:t>
      </w:r>
      <w:proofErr w:type="gramStart"/>
      <w:r w:rsidRPr="00ED2381">
        <w:t>в</w:t>
      </w:r>
      <w:proofErr w:type="gramEnd"/>
      <w:r w:rsidRPr="00ED2381">
        <w:t xml:space="preserve"> % к январю-августу 2019г.)</w:t>
      </w: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09265A" w:rsidRDefault="0009265A">
      <w:pPr>
        <w:rPr>
          <w:rFonts w:ascii="Arial" w:hAnsi="Arial" w:cs="Arial"/>
          <w:b/>
          <w:sz w:val="20"/>
          <w:szCs w:val="20"/>
        </w:rPr>
      </w:pPr>
    </w:p>
    <w:p w:rsidR="00AD25BB" w:rsidRDefault="00AD25BB">
      <w:pPr>
        <w:rPr>
          <w:b/>
        </w:rPr>
      </w:pPr>
    </w:p>
    <w:p w:rsidR="00D14283" w:rsidRDefault="00D14283">
      <w:pPr>
        <w:rPr>
          <w:sz w:val="28"/>
          <w:szCs w:val="20"/>
        </w:rPr>
      </w:pPr>
      <w:r>
        <w:br w:type="page"/>
      </w:r>
    </w:p>
    <w:p w:rsidR="00C21798" w:rsidRDefault="00C21798" w:rsidP="00C21798">
      <w:pPr>
        <w:pStyle w:val="a7"/>
        <w:spacing w:line="240" w:lineRule="auto"/>
      </w:pPr>
      <w:r w:rsidRPr="00C667A8">
        <w:lastRenderedPageBreak/>
        <w:t xml:space="preserve">Производство яиц в </w:t>
      </w:r>
      <w:r>
        <w:t xml:space="preserve">январе-августе в </w:t>
      </w:r>
      <w:r w:rsidRPr="00C667A8">
        <w:t xml:space="preserve">хозяйствах всех категорий составило </w:t>
      </w:r>
      <w:r>
        <w:t xml:space="preserve">209,6 </w:t>
      </w:r>
      <w:proofErr w:type="gramStart"/>
      <w:r>
        <w:t>млн</w:t>
      </w:r>
      <w:proofErr w:type="gramEnd"/>
      <w:r>
        <w:t xml:space="preserve"> шт., или на 15,9</w:t>
      </w:r>
      <w:r w:rsidRPr="00C667A8">
        <w:t>% больше, чем в январе-</w:t>
      </w:r>
      <w:r>
        <w:t>августе</w:t>
      </w:r>
      <w:r w:rsidRPr="00C667A8">
        <w:t xml:space="preserve"> 2019г. По темпам изменения производства яиц в январе-</w:t>
      </w:r>
      <w:r>
        <w:t>августе</w:t>
      </w:r>
      <w:r w:rsidRPr="00C667A8">
        <w:t xml:space="preserve"> 2020г. среди регионов ПФО Пензенская область занимала 2-е место.</w:t>
      </w:r>
    </w:p>
    <w:p w:rsidR="009B1050" w:rsidRPr="00C667A8" w:rsidRDefault="009B1050" w:rsidP="00C21798">
      <w:pPr>
        <w:pStyle w:val="a7"/>
        <w:spacing w:line="240" w:lineRule="auto"/>
      </w:pPr>
    </w:p>
    <w:p w:rsidR="00C21798" w:rsidRPr="002726DC" w:rsidRDefault="00C21798" w:rsidP="00C21798">
      <w:pPr>
        <w:jc w:val="center"/>
        <w:rPr>
          <w:b/>
        </w:rPr>
      </w:pPr>
      <w:r w:rsidRPr="002726DC">
        <w:rPr>
          <w:b/>
        </w:rPr>
        <w:t xml:space="preserve">Индекс производства </w:t>
      </w:r>
      <w:r>
        <w:rPr>
          <w:b/>
        </w:rPr>
        <w:t xml:space="preserve">яиц </w:t>
      </w:r>
      <w:r w:rsidRPr="002726DC">
        <w:rPr>
          <w:b/>
        </w:rPr>
        <w:t xml:space="preserve">в хозяйствах всех категорий </w:t>
      </w:r>
    </w:p>
    <w:p w:rsidR="00C21798" w:rsidRDefault="00C21798" w:rsidP="00C21798">
      <w:pPr>
        <w:jc w:val="center"/>
        <w:rPr>
          <w:b/>
        </w:rPr>
      </w:pPr>
      <w:r w:rsidRPr="002726DC">
        <w:rPr>
          <w:b/>
        </w:rPr>
        <w:t>по регионам Приволжского федерального округа</w:t>
      </w:r>
    </w:p>
    <w:p w:rsidR="00D14283" w:rsidRPr="00ED2381" w:rsidRDefault="00C07AFA" w:rsidP="00D1428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4F3AB" wp14:editId="2B44E0F5">
            <wp:simplePos x="0" y="0"/>
            <wp:positionH relativeFrom="column">
              <wp:posOffset>-5715</wp:posOffset>
            </wp:positionH>
            <wp:positionV relativeFrom="paragraph">
              <wp:posOffset>116840</wp:posOffset>
            </wp:positionV>
            <wp:extent cx="6467475" cy="3857625"/>
            <wp:effectExtent l="0" t="0" r="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83" w:rsidRPr="00ED2381">
        <w:t xml:space="preserve">(январь-август 2020г. </w:t>
      </w:r>
      <w:proofErr w:type="gramStart"/>
      <w:r w:rsidR="00D14283" w:rsidRPr="00ED2381">
        <w:t>в</w:t>
      </w:r>
      <w:proofErr w:type="gramEnd"/>
      <w:r w:rsidR="00D14283" w:rsidRPr="00ED2381">
        <w:t xml:space="preserve"> % к январю-августу 2019г.)</w:t>
      </w:r>
    </w:p>
    <w:p w:rsidR="00A31F18" w:rsidRDefault="00A31F18">
      <w:pPr>
        <w:rPr>
          <w:b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E5F46" w:rsidRDefault="00CE5F4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21798" w:rsidRDefault="00C21798" w:rsidP="00CE5F46">
      <w:pPr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C0637F" w:rsidRPr="00C0637F" w:rsidRDefault="00C0637F" w:rsidP="00CE5F46">
      <w:pPr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8C57E6" w:rsidRDefault="008C57E6" w:rsidP="00CE5F46">
      <w:pPr>
        <w:jc w:val="right"/>
        <w:rPr>
          <w:rFonts w:ascii="Arial" w:hAnsi="Arial" w:cs="Arial"/>
          <w:i/>
          <w:sz w:val="20"/>
          <w:szCs w:val="20"/>
        </w:rPr>
      </w:pPr>
    </w:p>
    <w:p w:rsidR="00C0637F" w:rsidRDefault="00C21798" w:rsidP="00CE5F46">
      <w:pPr>
        <w:jc w:val="right"/>
        <w:rPr>
          <w:i/>
          <w:sz w:val="28"/>
          <w:szCs w:val="28"/>
        </w:rPr>
      </w:pPr>
      <w:r w:rsidRPr="00C0637F">
        <w:rPr>
          <w:i/>
          <w:sz w:val="28"/>
          <w:szCs w:val="28"/>
        </w:rPr>
        <w:t>В.Н. Галева</w:t>
      </w:r>
      <w:r w:rsidR="00C0637F">
        <w:rPr>
          <w:i/>
          <w:sz w:val="28"/>
          <w:szCs w:val="28"/>
        </w:rPr>
        <w:t>,</w:t>
      </w:r>
    </w:p>
    <w:p w:rsidR="00CE5F46" w:rsidRPr="00C0637F" w:rsidRDefault="00C0637F" w:rsidP="00CE5F4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bookmarkStart w:id="0" w:name="_GoBack"/>
      <w:bookmarkEnd w:id="0"/>
      <w:r w:rsidR="00CE5F46" w:rsidRPr="00C0637F">
        <w:rPr>
          <w:i/>
          <w:sz w:val="28"/>
          <w:szCs w:val="28"/>
        </w:rPr>
        <w:t>ачальник отдела статистики сельского хозяйства</w:t>
      </w:r>
    </w:p>
    <w:p w:rsidR="00CE5F46" w:rsidRPr="00C0637F" w:rsidRDefault="00CE5F46" w:rsidP="00CE5F46">
      <w:pPr>
        <w:jc w:val="right"/>
        <w:rPr>
          <w:i/>
          <w:sz w:val="28"/>
          <w:szCs w:val="28"/>
        </w:rPr>
      </w:pPr>
      <w:r w:rsidRPr="00C0637F">
        <w:rPr>
          <w:i/>
          <w:sz w:val="28"/>
          <w:szCs w:val="28"/>
        </w:rPr>
        <w:t>и окружающей природной среды</w:t>
      </w:r>
    </w:p>
    <w:sectPr w:rsidR="00CE5F46" w:rsidRPr="00C0637F" w:rsidSect="00CE5F4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A"/>
    <w:rsid w:val="000027B4"/>
    <w:rsid w:val="00015FD6"/>
    <w:rsid w:val="000625B8"/>
    <w:rsid w:val="0006642E"/>
    <w:rsid w:val="00074E70"/>
    <w:rsid w:val="00085FF2"/>
    <w:rsid w:val="0009265A"/>
    <w:rsid w:val="0010160A"/>
    <w:rsid w:val="001374E9"/>
    <w:rsid w:val="001543FD"/>
    <w:rsid w:val="0018098E"/>
    <w:rsid w:val="001B6170"/>
    <w:rsid w:val="001D4F0F"/>
    <w:rsid w:val="00237334"/>
    <w:rsid w:val="00253E78"/>
    <w:rsid w:val="002707BB"/>
    <w:rsid w:val="002726DC"/>
    <w:rsid w:val="002A6E8B"/>
    <w:rsid w:val="002F34A9"/>
    <w:rsid w:val="00314D1E"/>
    <w:rsid w:val="00340D94"/>
    <w:rsid w:val="00354832"/>
    <w:rsid w:val="003A1858"/>
    <w:rsid w:val="003B6BBD"/>
    <w:rsid w:val="003C78FE"/>
    <w:rsid w:val="003D3FD2"/>
    <w:rsid w:val="00447A0D"/>
    <w:rsid w:val="00450466"/>
    <w:rsid w:val="00455D17"/>
    <w:rsid w:val="004919E8"/>
    <w:rsid w:val="004D7B48"/>
    <w:rsid w:val="00585AE8"/>
    <w:rsid w:val="005B2212"/>
    <w:rsid w:val="005C57FC"/>
    <w:rsid w:val="00661F83"/>
    <w:rsid w:val="00694E12"/>
    <w:rsid w:val="00697C55"/>
    <w:rsid w:val="006B7059"/>
    <w:rsid w:val="006C0B5C"/>
    <w:rsid w:val="006D5F67"/>
    <w:rsid w:val="007C23A5"/>
    <w:rsid w:val="007C2EDF"/>
    <w:rsid w:val="007F00ED"/>
    <w:rsid w:val="008404AD"/>
    <w:rsid w:val="008C24B1"/>
    <w:rsid w:val="008C2CBC"/>
    <w:rsid w:val="008C325E"/>
    <w:rsid w:val="008C57E6"/>
    <w:rsid w:val="00944A45"/>
    <w:rsid w:val="009A0D7F"/>
    <w:rsid w:val="009B1050"/>
    <w:rsid w:val="009D6DDC"/>
    <w:rsid w:val="009E69E5"/>
    <w:rsid w:val="00A26267"/>
    <w:rsid w:val="00A31F18"/>
    <w:rsid w:val="00AD25BB"/>
    <w:rsid w:val="00AF44A0"/>
    <w:rsid w:val="00B3692D"/>
    <w:rsid w:val="00B443EC"/>
    <w:rsid w:val="00BA247A"/>
    <w:rsid w:val="00BA7492"/>
    <w:rsid w:val="00C0637F"/>
    <w:rsid w:val="00C07AFA"/>
    <w:rsid w:val="00C21798"/>
    <w:rsid w:val="00C5087D"/>
    <w:rsid w:val="00CB6A73"/>
    <w:rsid w:val="00CC75C3"/>
    <w:rsid w:val="00CE5F46"/>
    <w:rsid w:val="00CF5D9F"/>
    <w:rsid w:val="00D124E9"/>
    <w:rsid w:val="00D14283"/>
    <w:rsid w:val="00D22CEC"/>
    <w:rsid w:val="00D36F9A"/>
    <w:rsid w:val="00D7372B"/>
    <w:rsid w:val="00DD462E"/>
    <w:rsid w:val="00DE5BFD"/>
    <w:rsid w:val="00E23337"/>
    <w:rsid w:val="00E714BD"/>
    <w:rsid w:val="00EA2252"/>
    <w:rsid w:val="00ED2381"/>
    <w:rsid w:val="00EE2721"/>
    <w:rsid w:val="00F2372D"/>
    <w:rsid w:val="00F40D29"/>
    <w:rsid w:val="00F63259"/>
    <w:rsid w:val="00FA547D"/>
    <w:rsid w:val="00FC0D7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0A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екстовая часть"/>
    <w:link w:val="a8"/>
    <w:rsid w:val="00447A0D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8">
    <w:name w:val="Текстовая часть Знак"/>
    <w:link w:val="a7"/>
    <w:rsid w:val="00447A0D"/>
    <w:rPr>
      <w:sz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D462E"/>
    <w:pPr>
      <w:spacing w:before="100" w:beforeAutospacing="1" w:after="100" w:afterAutospacing="1"/>
    </w:pPr>
    <w:rPr>
      <w:rFonts w:eastAsiaTheme="minorEastAsia"/>
    </w:rPr>
  </w:style>
  <w:style w:type="paragraph" w:styleId="aa">
    <w:name w:val="caption"/>
    <w:basedOn w:val="a"/>
    <w:next w:val="a"/>
    <w:unhideWhenUsed/>
    <w:qFormat/>
    <w:rsid w:val="00DD462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9&#1057;&#1077;&#1085;&#1090;&#1103;&#1073;&#1088;&#1100;\&#1057;&#1082;&#1086;&#1090;%20&#1080;%20&#1087;&#1090;&#1080;&#109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9&#1057;&#1077;&#1085;&#1090;&#1103;&#1073;&#1088;&#1100;\&#1052;&#1086;&#1083;&#1086;&#1082;&#108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58-srv-fs\grup1\05-HOZPRI\()&#1054;&#1041;&#1065;&#1045;&#1045;\DELO2020\05-31\&#1045;&#1078;&#1077;&#1084;&#1077;&#1089;&#1103;&#1095;&#1085;&#1099;&#1077;%20&#1087;&#1091;&#1073;&#1083;&#1080;&#1082;&#1072;&#1094;&#1080;&#1080;\09&#1057;&#1077;&#1085;&#1090;&#1103;&#1073;&#1088;&#1100;\&#1071;&#1081;&#109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2958583907226E-2"/>
          <c:y val="2.1104741510710595E-2"/>
          <c:w val="0.94669487209621184"/>
          <c:h val="0.62847434438967087"/>
        </c:manualLayout>
      </c:layout>
      <c:barChart>
        <c:barDir val="col"/>
        <c:grouping val="clustered"/>
        <c:varyColors val="1"/>
        <c:ser>
          <c:idx val="1"/>
          <c:order val="0"/>
          <c:spPr>
            <a:gradFill>
              <a:gsLst>
                <a:gs pos="95413">
                  <a:schemeClr val="bg1">
                    <a:lumMod val="65000"/>
                  </a:schemeClr>
                </a:gs>
                <a:gs pos="87897">
                  <a:schemeClr val="bg1">
                    <a:lumMod val="65000"/>
                  </a:schemeClr>
                </a:gs>
                <a:gs pos="6273">
                  <a:schemeClr val="bg1">
                    <a:lumMod val="65000"/>
                  </a:schemeClr>
                </a:gs>
                <a:gs pos="51000">
                  <a:schemeClr val="bg1">
                    <a:lumMod val="65000"/>
                  </a:schemeClr>
                </a:gs>
                <a:gs pos="100000">
                  <a:schemeClr val="tx2">
                    <a:lumMod val="75000"/>
                  </a:schemeClr>
                </a:gs>
                <a:gs pos="0">
                  <a:schemeClr val="tx2">
                    <a:lumMod val="75000"/>
                  </a:schemeClr>
                </a:gs>
              </a:gsLst>
              <a:lin ang="108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19154">
                    <a:srgbClr val="FF0000"/>
                  </a:gs>
                  <a:gs pos="95413">
                    <a:srgbClr val="FF0000"/>
                  </a:gs>
                  <a:gs pos="87897">
                    <a:srgbClr val="FF0000"/>
                  </a:gs>
                  <a:gs pos="6273">
                    <a:srgbClr val="FF0000"/>
                  </a:gs>
                  <a:gs pos="80850">
                    <a:srgbClr val="FF0000"/>
                  </a:gs>
                  <a:gs pos="51000">
                    <a:srgbClr val="FF000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81256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81661">
                    <a:srgbClr val="92D050"/>
                  </a:gs>
                  <a:gs pos="399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43352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Lbls>
            <c:dLbl>
              <c:idx val="0"/>
              <c:layout>
                <c:manualLayout>
                  <c:x val="1.3948791259375951E-3"/>
                  <c:y val="7.46078306338484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129395218002813E-3"/>
                  <c:y val="2.36763240065424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26100474589971E-3"/>
                  <c:y val="5.75719679821282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26100474590227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26100474590227E-3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027204891950433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669683080659693E-7"/>
                  <c:y val="1.0536317368931035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052200949180454E-3"/>
                  <c:y val="7.2362372775017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153719591021273E-3"/>
                  <c:y val="8.6874947083227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458377404316996E-3"/>
                  <c:y val="0.1019016171365676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9962001018529403E-3"/>
                  <c:y val="0.14822566534021958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1595565479688174E-5"/>
                  <c:y val="0.228872519967262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732871832351954E-3"/>
                  <c:y val="0.377861852634274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7.7309215214276851E-6"/>
                  <c:y val="8.2082968912346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4004012127387178E-3"/>
                  <c:y val="0.11095160872095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0.1972359713282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</c:spPr>
            <c:txPr>
              <a:bodyPr anchor="t" anchorCtr="1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данные!$A$5:$A$18</c:f>
              <c:strCache>
                <c:ptCount val="14"/>
                <c:pt idx="0">
                  <c:v>Пензенская область</c:v>
                </c:pt>
                <c:pt idx="1">
                  <c:v>Республика Башкортостан</c:v>
                </c:pt>
                <c:pt idx="2">
                  <c:v>Республика Мордовия</c:v>
                </c:pt>
                <c:pt idx="3">
                  <c:v>Удмуртская Республика</c:v>
                </c:pt>
                <c:pt idx="4">
                  <c:v>Республика Марий Эл</c:v>
                </c:pt>
                <c:pt idx="5">
                  <c:v>Самарская область</c:v>
                </c:pt>
                <c:pt idx="6">
                  <c:v>Республика Татарстан</c:v>
                </c:pt>
                <c:pt idx="7">
                  <c:v>Кировская область</c:v>
                </c:pt>
                <c:pt idx="8">
                  <c:v>Оренбургская область</c:v>
                </c:pt>
                <c:pt idx="9">
                  <c:v>Ульяновская область</c:v>
                </c:pt>
                <c:pt idx="10">
                  <c:v>Нижегородская область</c:v>
                </c:pt>
                <c:pt idx="11">
                  <c:v>Саратовская область</c:v>
                </c:pt>
                <c:pt idx="12">
                  <c:v>Пермский край</c:v>
                </c:pt>
                <c:pt idx="13">
                  <c:v>Чувашская Республика</c:v>
                </c:pt>
              </c:strCache>
            </c:strRef>
          </c:cat>
          <c:val>
            <c:numRef>
              <c:f>данные!$B$5:$B$18</c:f>
              <c:numCache>
                <c:formatCode>0\,0</c:formatCode>
                <c:ptCount val="14"/>
                <c:pt idx="0">
                  <c:v>112.7</c:v>
                </c:pt>
                <c:pt idx="1">
                  <c:v>112.1</c:v>
                </c:pt>
                <c:pt idx="2">
                  <c:v>109.9</c:v>
                </c:pt>
                <c:pt idx="3">
                  <c:v>106.3</c:v>
                </c:pt>
                <c:pt idx="4">
                  <c:v>105.3</c:v>
                </c:pt>
                <c:pt idx="5">
                  <c:v>104.4</c:v>
                </c:pt>
                <c:pt idx="6">
                  <c:v>102.8</c:v>
                </c:pt>
                <c:pt idx="7">
                  <c:v>102.8</c:v>
                </c:pt>
                <c:pt idx="8">
                  <c:v>101.7</c:v>
                </c:pt>
                <c:pt idx="9">
                  <c:v>99.7</c:v>
                </c:pt>
                <c:pt idx="10">
                  <c:v>99.3</c:v>
                </c:pt>
                <c:pt idx="11">
                  <c:v>97.8</c:v>
                </c:pt>
                <c:pt idx="12">
                  <c:v>95.5</c:v>
                </c:pt>
                <c:pt idx="13">
                  <c:v>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1561472"/>
        <c:axId val="41600128"/>
      </c:barChart>
      <c:catAx>
        <c:axId val="4156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60012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41600128"/>
        <c:scaling>
          <c:orientation val="minMax"/>
          <c:max val="115"/>
          <c:min val="88"/>
        </c:scaling>
        <c:delete val="1"/>
        <c:axPos val="l"/>
        <c:numFmt formatCode="0" sourceLinked="0"/>
        <c:majorTickMark val="out"/>
        <c:minorTickMark val="none"/>
        <c:tickLblPos val="low"/>
        <c:crossAx val="41561472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32863233470269E-2"/>
          <c:y val="0.13275687826354482"/>
          <c:w val="0.92180158833289572"/>
          <c:h val="0.51857919616811832"/>
        </c:manualLayout>
      </c:layout>
      <c:barChart>
        <c:barDir val="col"/>
        <c:grouping val="clustered"/>
        <c:varyColors val="1"/>
        <c:ser>
          <c:idx val="1"/>
          <c:order val="0"/>
          <c:spPr>
            <a:gradFill>
              <a:gsLst>
                <a:gs pos="95413">
                  <a:schemeClr val="bg1">
                    <a:lumMod val="65000"/>
                  </a:schemeClr>
                </a:gs>
                <a:gs pos="87897">
                  <a:schemeClr val="bg1">
                    <a:lumMod val="65000"/>
                  </a:schemeClr>
                </a:gs>
                <a:gs pos="6273">
                  <a:schemeClr val="bg1">
                    <a:lumMod val="65000"/>
                  </a:schemeClr>
                </a:gs>
                <a:gs pos="51000">
                  <a:schemeClr val="bg1">
                    <a:lumMod val="65000"/>
                  </a:schemeClr>
                </a:gs>
                <a:gs pos="100000">
                  <a:schemeClr val="tx2">
                    <a:lumMod val="75000"/>
                  </a:schemeClr>
                </a:gs>
                <a:gs pos="0">
                  <a:schemeClr val="tx2">
                    <a:lumMod val="75000"/>
                  </a:schemeClr>
                </a:gs>
              </a:gsLst>
              <a:lin ang="108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19154">
                    <a:srgbClr val="FF0000"/>
                  </a:gs>
                  <a:gs pos="95413">
                    <a:srgbClr val="FF0000"/>
                  </a:gs>
                  <a:gs pos="87897">
                    <a:srgbClr val="FF0000"/>
                  </a:gs>
                  <a:gs pos="6273">
                    <a:srgbClr val="FF0000"/>
                  </a:gs>
                  <a:gs pos="80850">
                    <a:srgbClr val="FF0000"/>
                  </a:gs>
                  <a:gs pos="51000">
                    <a:srgbClr val="FF000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gradFill>
                <a:gsLst>
                  <a:gs pos="95413">
                    <a:schemeClr val="bg1">
                      <a:lumMod val="65000"/>
                    </a:schemeClr>
                  </a:gs>
                  <a:gs pos="87897">
                    <a:schemeClr val="bg1">
                      <a:lumMod val="65000"/>
                    </a:schemeClr>
                  </a:gs>
                  <a:gs pos="6273">
                    <a:schemeClr val="bg1">
                      <a:lumMod val="65000"/>
                    </a:schemeClr>
                  </a:gs>
                  <a:gs pos="81256">
                    <a:schemeClr val="bg1">
                      <a:lumMod val="65000"/>
                    </a:schemeClr>
                  </a:gs>
                  <a:gs pos="51000">
                    <a:schemeClr val="bg1">
                      <a:lumMod val="65000"/>
                    </a:schemeClr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95413">
                    <a:schemeClr val="bg1">
                      <a:lumMod val="65000"/>
                    </a:schemeClr>
                  </a:gs>
                  <a:gs pos="87897">
                    <a:schemeClr val="bg1">
                      <a:lumMod val="65000"/>
                    </a:schemeClr>
                  </a:gs>
                  <a:gs pos="81661">
                    <a:schemeClr val="bg1">
                      <a:lumMod val="65000"/>
                    </a:schemeClr>
                  </a:gs>
                  <a:gs pos="39997">
                    <a:schemeClr val="bg1">
                      <a:lumMod val="65000"/>
                    </a:schemeClr>
                  </a:gs>
                  <a:gs pos="6273">
                    <a:schemeClr val="bg1">
                      <a:lumMod val="65000"/>
                    </a:schemeClr>
                  </a:gs>
                  <a:gs pos="51000">
                    <a:schemeClr val="bg1">
                      <a:lumMod val="65000"/>
                    </a:schemeClr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43352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Lbls>
            <c:dLbl>
              <c:idx val="0"/>
              <c:layout>
                <c:manualLayout>
                  <c:x val="-2.5851843146472361E-3"/>
                  <c:y val="1.53504480578980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129395218002813E-3"/>
                  <c:y val="2.36763240065424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26100474589971E-3"/>
                  <c:y val="5.75719679821282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26100474590227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 rtl="0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26100474590227E-3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027204891950433E-3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6762623976170952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5.7571967982128214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052200949180454E-3"/>
                  <c:y val="7.2362372775017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945868681430878E-3"/>
                  <c:y val="8.13955807696933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107415677517923E-3"/>
                  <c:y val="1.7292084051623725E-2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 rtl="0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677909664277038E-3"/>
                  <c:y val="5.7146406994983611E-3"/>
                </c:manualLayout>
              </c:layout>
              <c:numFmt formatCode="#,##0.0" sourceLinked="0"/>
              <c:spPr>
                <a:noFill/>
              </c:spPr>
              <c:txPr>
                <a:bodyPr/>
                <a:lstStyle/>
                <a:p>
                  <a:pPr algn="ctr" rtl="0">
                    <a:defRPr sz="9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7951405923894741E-3"/>
                  <c:y val="7.64377427920198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7879500137109729E-3"/>
                  <c:y val="7.5553513370510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7.7309215214276851E-6"/>
                  <c:y val="8.2082968912346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4004012127387178E-3"/>
                  <c:y val="0.11095160872095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0.1972359713282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данные!$A$5:$A$18</c:f>
              <c:strCache>
                <c:ptCount val="14"/>
                <c:pt idx="0">
                  <c:v>Пензенская область</c:v>
                </c:pt>
                <c:pt idx="1">
                  <c:v>Республика Марий Эл</c:v>
                </c:pt>
                <c:pt idx="2">
                  <c:v>Ульяновская область</c:v>
                </c:pt>
                <c:pt idx="3">
                  <c:v>Кировская область</c:v>
                </c:pt>
                <c:pt idx="4">
                  <c:v>Удмуртская Республика </c:v>
                </c:pt>
                <c:pt idx="5">
                  <c:v>Республика Мордовия</c:v>
                </c:pt>
                <c:pt idx="6">
                  <c:v>Чувашская Республика</c:v>
                </c:pt>
                <c:pt idx="7">
                  <c:v>Пермский край</c:v>
                </c:pt>
                <c:pt idx="8">
                  <c:v>Самарская область</c:v>
                </c:pt>
                <c:pt idx="9">
                  <c:v>Нижегородская область</c:v>
                </c:pt>
                <c:pt idx="10">
                  <c:v>Республика Татарстан</c:v>
                </c:pt>
                <c:pt idx="11">
                  <c:v>Республика Башкортостан</c:v>
                </c:pt>
                <c:pt idx="12">
                  <c:v>Саратовская область</c:v>
                </c:pt>
                <c:pt idx="13">
                  <c:v>Оренбургская область</c:v>
                </c:pt>
              </c:strCache>
            </c:strRef>
          </c:cat>
          <c:val>
            <c:numRef>
              <c:f>данные!$B$5:$B$18</c:f>
              <c:numCache>
                <c:formatCode>0\,0</c:formatCode>
                <c:ptCount val="14"/>
                <c:pt idx="0">
                  <c:v>110.7</c:v>
                </c:pt>
                <c:pt idx="1">
                  <c:v>105.9</c:v>
                </c:pt>
                <c:pt idx="2">
                  <c:v>105.6</c:v>
                </c:pt>
                <c:pt idx="3">
                  <c:v>105.3</c:v>
                </c:pt>
                <c:pt idx="4">
                  <c:v>104.8</c:v>
                </c:pt>
                <c:pt idx="5">
                  <c:v>103.7</c:v>
                </c:pt>
                <c:pt idx="6">
                  <c:v>103.7</c:v>
                </c:pt>
                <c:pt idx="7">
                  <c:v>103.6</c:v>
                </c:pt>
                <c:pt idx="8">
                  <c:v>103.2</c:v>
                </c:pt>
                <c:pt idx="9">
                  <c:v>102.5</c:v>
                </c:pt>
                <c:pt idx="10">
                  <c:v>102.3</c:v>
                </c:pt>
                <c:pt idx="11">
                  <c:v>101.3</c:v>
                </c:pt>
                <c:pt idx="12">
                  <c:v>101</c:v>
                </c:pt>
                <c:pt idx="13">
                  <c:v>99.3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85149568"/>
        <c:axId val="85151104"/>
      </c:barChart>
      <c:catAx>
        <c:axId val="851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aseline="0"/>
            </a:pPr>
            <a:endParaRPr lang="ru-RU"/>
          </a:p>
        </c:txPr>
        <c:crossAx val="8515110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5151104"/>
        <c:scaling>
          <c:orientation val="minMax"/>
          <c:max val="112"/>
          <c:min val="88"/>
        </c:scaling>
        <c:delete val="1"/>
        <c:axPos val="l"/>
        <c:numFmt formatCode="0" sourceLinked="0"/>
        <c:majorTickMark val="out"/>
        <c:minorTickMark val="none"/>
        <c:tickLblPos val="low"/>
        <c:crossAx val="85149568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46127863980441E-2"/>
          <c:y val="0.12508061586592772"/>
          <c:w val="0.92180158833289572"/>
          <c:h val="0.71155998192876235"/>
        </c:manualLayout>
      </c:layout>
      <c:barChart>
        <c:barDir val="col"/>
        <c:grouping val="clustered"/>
        <c:varyColors val="1"/>
        <c:ser>
          <c:idx val="1"/>
          <c:order val="0"/>
          <c:spPr>
            <a:gradFill>
              <a:gsLst>
                <a:gs pos="95413">
                  <a:schemeClr val="bg1">
                    <a:lumMod val="65000"/>
                  </a:schemeClr>
                </a:gs>
                <a:gs pos="87897">
                  <a:schemeClr val="bg1">
                    <a:lumMod val="65000"/>
                  </a:schemeClr>
                </a:gs>
                <a:gs pos="6273">
                  <a:schemeClr val="bg1">
                    <a:lumMod val="65000"/>
                  </a:schemeClr>
                </a:gs>
                <a:gs pos="51000">
                  <a:schemeClr val="bg1">
                    <a:lumMod val="65000"/>
                  </a:schemeClr>
                </a:gs>
                <a:gs pos="100000">
                  <a:schemeClr val="tx2">
                    <a:lumMod val="75000"/>
                  </a:schemeClr>
                </a:gs>
                <a:gs pos="0">
                  <a:schemeClr val="tx2">
                    <a:lumMod val="75000"/>
                  </a:schemeClr>
                </a:gs>
              </a:gsLst>
              <a:lin ang="108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19154">
                    <a:schemeClr val="bg1">
                      <a:lumMod val="65000"/>
                    </a:schemeClr>
                  </a:gs>
                  <a:gs pos="95413">
                    <a:schemeClr val="bg1">
                      <a:lumMod val="65000"/>
                    </a:schemeClr>
                  </a:gs>
                  <a:gs pos="87897">
                    <a:schemeClr val="bg1">
                      <a:lumMod val="65000"/>
                    </a:schemeClr>
                  </a:gs>
                  <a:gs pos="6273">
                    <a:schemeClr val="bg1">
                      <a:lumMod val="65000"/>
                    </a:schemeClr>
                  </a:gs>
                  <a:gs pos="80850">
                    <a:schemeClr val="bg1">
                      <a:lumMod val="65000"/>
                    </a:schemeClr>
                  </a:gs>
                  <a:gs pos="51000">
                    <a:schemeClr val="bg1">
                      <a:lumMod val="65000"/>
                    </a:schemeClr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95413">
                    <a:srgbClr val="FF0000"/>
                  </a:gs>
                  <a:gs pos="87897">
                    <a:srgbClr val="FF0000"/>
                  </a:gs>
                  <a:gs pos="6273">
                    <a:srgbClr val="FF0000"/>
                  </a:gs>
                  <a:gs pos="51000">
                    <a:srgbClr val="FF0000"/>
                  </a:gs>
                  <a:gs pos="100000">
                    <a:srgbClr val="FF0000"/>
                  </a:gs>
                  <a:gs pos="0">
                    <a:srgbClr val="FF0000"/>
                  </a:gs>
                </a:gsLst>
                <a:lin ang="10800000" scaled="0"/>
              </a:gra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95413">
                    <a:schemeClr val="bg1">
                      <a:lumMod val="65000"/>
                    </a:schemeClr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6273">
                    <a:srgbClr val="92D050"/>
                  </a:gs>
                  <a:gs pos="81256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81661">
                    <a:srgbClr val="92D050"/>
                  </a:gs>
                  <a:gs pos="34000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rgbClr val="92D050"/>
                  </a:gs>
                  <a:gs pos="0">
                    <a:srgbClr val="92D050"/>
                  </a:gs>
                </a:gsLst>
                <a:lin ang="108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95413">
                    <a:srgbClr val="92D050"/>
                  </a:gs>
                  <a:gs pos="87897">
                    <a:srgbClr val="92D050"/>
                  </a:gs>
                  <a:gs pos="43352">
                    <a:srgbClr val="92D050"/>
                  </a:gs>
                  <a:gs pos="6273">
                    <a:srgbClr val="92D050"/>
                  </a:gs>
                  <a:gs pos="51000">
                    <a:srgbClr val="92D050"/>
                  </a:gs>
                  <a:gs pos="100000">
                    <a:schemeClr val="tx2">
                      <a:lumMod val="75000"/>
                    </a:schemeClr>
                  </a:gs>
                  <a:gs pos="0">
                    <a:schemeClr val="tx2">
                      <a:lumMod val="75000"/>
                    </a:schemeClr>
                  </a:gs>
                </a:gsLst>
                <a:lin ang="10800000" scaled="0"/>
              </a:gradFill>
            </c:spPr>
          </c:dPt>
          <c:dLbls>
            <c:dLbl>
              <c:idx val="0"/>
              <c:layout>
                <c:manualLayout>
                  <c:x val="1.3948256467941507E-3"/>
                  <c:y val="1.7337092122743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129988906025923E-3"/>
                  <c:y val="1.2244062084831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25566391829888E-3"/>
                  <c:y val="1.56337124526100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24020193352119E-3"/>
                  <c:y val="1.2341531382651243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25566391829888E-3"/>
                  <c:y val="1.4260587796895818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246328744989352E-3"/>
                  <c:y val="1.2341531382651243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4260587796895758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7.4111295298613988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>
                    <a:defRPr lang="ru-RU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142337976983646E-6"/>
                  <c:y val="7.5590781415480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121071404535972E-3"/>
                  <c:y val="8.517474789335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10761154855643E-3"/>
                  <c:y val="8.8687203573237561E-2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22753886533414E-3"/>
                  <c:y val="0.11526753234793019"/>
                </c:manualLayout>
              </c:layout>
              <c:numFmt formatCode="#,##0.0" sourceLinked="0"/>
              <c:spPr>
                <a:noFill/>
              </c:spPr>
              <c:txPr>
                <a:bodyPr anchor="t" anchorCtr="1"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147991116495054E-3"/>
                  <c:y val="0.137498963945296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7.5207093958615993E-4"/>
                  <c:y val="0.266735621010336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7.7309215214276851E-6"/>
                  <c:y val="8.2082968912346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4004012127387178E-3"/>
                  <c:y val="0.11095160872095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0.1972359713282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</c:spPr>
            <c:txPr>
              <a:bodyPr anchor="t" anchorCtr="1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данные!$A$5:$A$18</c:f>
              <c:strCache>
                <c:ptCount val="14"/>
                <c:pt idx="0">
                  <c:v>Кировская область</c:v>
                </c:pt>
                <c:pt idx="1">
                  <c:v>Пензенская область</c:v>
                </c:pt>
                <c:pt idx="2">
                  <c:v>Республика Марий Эл</c:v>
                </c:pt>
                <c:pt idx="3">
                  <c:v>Чувашская Республика</c:v>
                </c:pt>
                <c:pt idx="4">
                  <c:v>Пермский край</c:v>
                </c:pt>
                <c:pt idx="5">
                  <c:v>Республика Мордовия</c:v>
                </c:pt>
                <c:pt idx="6">
                  <c:v>Удмуртская Республика </c:v>
                </c:pt>
                <c:pt idx="7">
                  <c:v>Республика Башкортостан</c:v>
                </c:pt>
                <c:pt idx="8">
                  <c:v>Саратовская область</c:v>
                </c:pt>
                <c:pt idx="9">
                  <c:v>Ульяновская область</c:v>
                </c:pt>
                <c:pt idx="10">
                  <c:v>Республика Татарстан</c:v>
                </c:pt>
                <c:pt idx="11">
                  <c:v>Самарская область</c:v>
                </c:pt>
                <c:pt idx="12">
                  <c:v>Оренбургская область</c:v>
                </c:pt>
                <c:pt idx="13">
                  <c:v>Нижегородская область</c:v>
                </c:pt>
              </c:strCache>
            </c:strRef>
          </c:cat>
          <c:val>
            <c:numRef>
              <c:f>данные!$B$5:$B$18</c:f>
              <c:numCache>
                <c:formatCode>0\,0</c:formatCode>
                <c:ptCount val="14"/>
                <c:pt idx="0">
                  <c:v>116.1</c:v>
                </c:pt>
                <c:pt idx="1">
                  <c:v>115.9</c:v>
                </c:pt>
                <c:pt idx="2">
                  <c:v>106.4</c:v>
                </c:pt>
                <c:pt idx="3">
                  <c:v>105.9</c:v>
                </c:pt>
                <c:pt idx="4">
                  <c:v>104.6</c:v>
                </c:pt>
                <c:pt idx="5">
                  <c:v>102.7</c:v>
                </c:pt>
                <c:pt idx="6">
                  <c:v>100.4</c:v>
                </c:pt>
                <c:pt idx="7">
                  <c:v>99.2</c:v>
                </c:pt>
                <c:pt idx="8">
                  <c:v>99.1</c:v>
                </c:pt>
                <c:pt idx="9">
                  <c:v>98.8</c:v>
                </c:pt>
                <c:pt idx="10">
                  <c:v>98.7</c:v>
                </c:pt>
                <c:pt idx="11">
                  <c:v>97.6</c:v>
                </c:pt>
                <c:pt idx="12">
                  <c:v>96.9</c:v>
                </c:pt>
                <c:pt idx="13">
                  <c:v>92.2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91123072"/>
        <c:axId val="91145344"/>
      </c:barChart>
      <c:catAx>
        <c:axId val="911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14534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91145344"/>
        <c:scaling>
          <c:orientation val="minMax"/>
          <c:max val="118"/>
          <c:min val="88"/>
        </c:scaling>
        <c:delete val="1"/>
        <c:axPos val="l"/>
        <c:numFmt formatCode="0" sourceLinked="0"/>
        <c:majorTickMark val="out"/>
        <c:minorTickMark val="none"/>
        <c:tickLblPos val="low"/>
        <c:crossAx val="91123072"/>
        <c:crosses val="autoZero"/>
        <c:crossBetween val="between"/>
        <c:majorUnit val="2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3A26-A6DD-48F5-BB9E-044FEF1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Хохлова Татьяна Рамазановна</cp:lastModifiedBy>
  <cp:revision>2</cp:revision>
  <cp:lastPrinted>2020-09-25T11:49:00Z</cp:lastPrinted>
  <dcterms:created xsi:type="dcterms:W3CDTF">2020-09-25T14:15:00Z</dcterms:created>
  <dcterms:modified xsi:type="dcterms:W3CDTF">2020-09-25T14:15:00Z</dcterms:modified>
</cp:coreProperties>
</file>